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F35F68" w:rsidP="00E77D4B" w14:paraId="5F41C048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4B2F03">
        <w:rPr>
          <w:rFonts w:ascii="Arial" w:hAnsi="Arial" w:cs="Arial"/>
          <w:b/>
        </w:rPr>
        <w:t>Перечень документов, предоставляемых</w:t>
      </w:r>
      <w:r>
        <w:rPr>
          <w:rFonts w:ascii="Arial" w:hAnsi="Arial" w:cs="Arial"/>
          <w:b/>
        </w:rPr>
        <w:t xml:space="preserve"> для заключения договора энергоснабжения</w:t>
      </w:r>
      <w:r w:rsidRPr="004B2F03">
        <w:rPr>
          <w:rFonts w:ascii="Arial" w:hAnsi="Arial" w:cs="Arial"/>
          <w:b/>
        </w:rPr>
        <w:t xml:space="preserve"> </w:t>
      </w:r>
    </w:p>
    <w:p w:rsidR="00201045" w:rsidP="00E77D4B" w14:paraId="5F41C049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4B2F03">
        <w:rPr>
          <w:rFonts w:ascii="Arial" w:hAnsi="Arial" w:cs="Arial"/>
          <w:b/>
        </w:rPr>
        <w:t>исполнителем коммунальной услуги</w:t>
      </w:r>
      <w:r>
        <w:rPr>
          <w:rFonts w:ascii="Arial" w:hAnsi="Arial" w:cs="Arial"/>
          <w:b/>
        </w:rPr>
        <w:t xml:space="preserve"> по электроснабжению </w:t>
      </w:r>
    </w:p>
    <w:p w:rsidR="001E2A42" w:rsidRPr="004B2F03" w:rsidP="00E77D4B" w14:paraId="5F41C04A" w14:textId="7777777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i/>
        </w:rPr>
      </w:pPr>
      <w:r w:rsidRPr="004B2F03">
        <w:rPr>
          <w:rFonts w:ascii="Arial" w:hAnsi="Arial" w:cs="Arial"/>
          <w:i/>
        </w:rPr>
        <w:t>в соответствии с Основными положениями</w:t>
      </w:r>
      <w:r>
        <w:rPr>
          <w:rStyle w:val="FootnoteReference"/>
          <w:rFonts w:ascii="Arial" w:hAnsi="Arial" w:cs="Arial"/>
          <w:i/>
        </w:rPr>
        <w:footnoteReference w:id="2"/>
      </w:r>
      <w:r w:rsidRPr="004B2F03">
        <w:rPr>
          <w:rFonts w:ascii="Arial" w:hAnsi="Arial" w:cs="Arial"/>
          <w:i/>
        </w:rPr>
        <w:t xml:space="preserve"> и Правилами, обязательными при заключении договоров энергоснабжения коммунальными ресурсами для целей оказания коммунальных услуг</w:t>
      </w:r>
      <w:r>
        <w:rPr>
          <w:rStyle w:val="FootnoteReference"/>
          <w:rFonts w:ascii="Arial" w:hAnsi="Arial" w:cs="Arial"/>
          <w:i/>
        </w:rPr>
        <w:footnoteReference w:id="3"/>
      </w:r>
    </w:p>
    <w:tbl>
      <w:tblPr>
        <w:tblStyle w:val="TableGrid"/>
        <w:tblW w:w="10915" w:type="dxa"/>
        <w:tblInd w:w="250" w:type="dxa"/>
        <w:tblLayout w:type="fixed"/>
        <w:tblLook w:val="04A0"/>
      </w:tblPr>
      <w:tblGrid>
        <w:gridCol w:w="425"/>
        <w:gridCol w:w="10490"/>
      </w:tblGrid>
      <w:tr w14:paraId="5F41C04D" w14:textId="77777777" w:rsidTr="004F3BE4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shd w:val="clear" w:color="auto" w:fill="A6A6A6" w:themeFill="background1" w:themeFillShade="A6"/>
          </w:tcPr>
          <w:p w:rsidR="00BA082E" w:rsidRPr="004B2F03" w:rsidP="00E77D4B" w14:paraId="5F41C04B" w14:textId="77777777">
            <w:pPr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490" w:type="dxa"/>
            <w:shd w:val="clear" w:color="auto" w:fill="A6A6A6" w:themeFill="background1" w:themeFillShade="A6"/>
          </w:tcPr>
          <w:p w:rsidR="00BA082E" w:rsidRPr="004B2F03" w:rsidP="00E77D4B" w14:paraId="5F41C04C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5F41C052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D154A8" w:rsidP="00E77D4B" w14:paraId="5F41C04E" w14:textId="34AAFD5D">
            <w:pPr>
              <w:pStyle w:val="ListParagraph"/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490" w:type="dxa"/>
          </w:tcPr>
          <w:p w:rsidR="00BA082E" w:rsidRPr="004B2F03" w:rsidP="00E77D4B" w14:paraId="5F41C04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0B607F" w:rsidRPr="004B2F03" w:rsidP="00E77D4B" w14:paraId="5F41C050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 xml:space="preserve">с указанием места нахождения </w:t>
            </w:r>
            <w:r w:rsidRPr="004B2F03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устройств, в отношении которых заявитель намерен заключить договор, банковских реквизитов, данных о руководителе, иных необходимых для составления договора сведений согласно требованиям действующего законодательства.</w:t>
            </w:r>
          </w:p>
          <w:p w:rsidR="00BA082E" w:rsidRPr="004B2F03" w:rsidP="00E77D4B" w14:paraId="5F41C051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                                                                </w:t>
            </w:r>
            <w:r w:rsidRPr="00F135E5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>предоставляется в оригинале,</w:t>
            </w:r>
            <w:r w:rsidR="007D20F5"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4B2F0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14:paraId="5F41C055" w14:textId="77777777" w:rsidTr="00985C7A">
        <w:tblPrEx>
          <w:tblW w:w="10915" w:type="dxa"/>
          <w:tblInd w:w="250" w:type="dxa"/>
          <w:tblLayout w:type="fixed"/>
          <w:tblLook w:val="04A0"/>
        </w:tblPrEx>
        <w:tc>
          <w:tcPr>
            <w:tcW w:w="10915" w:type="dxa"/>
            <w:gridSpan w:val="2"/>
            <w:tcMar>
              <w:left w:w="0" w:type="dxa"/>
              <w:right w:w="0" w:type="dxa"/>
            </w:tcMar>
          </w:tcPr>
          <w:p w:rsidR="008409AF" w:rsidP="00E77D4B" w14:paraId="5F41C053" w14:textId="77777777">
            <w:pPr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</w:t>
            </w:r>
            <w:r w:rsidR="00B60F3F">
              <w:rPr>
                <w:rFonts w:ascii="Arial" w:hAnsi="Arial" w:cs="Arial"/>
                <w:color w:val="FF0000"/>
                <w:sz w:val="20"/>
                <w:szCs w:val="20"/>
              </w:rPr>
              <w:t xml:space="preserve">уполномоченным лицом,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либо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неподписанных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</w:p>
          <w:p w:rsidR="008409AF" w:rsidP="00E77D4B" w14:paraId="5F41C054" w14:textId="77777777">
            <w:pPr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60F3F">
              <w:rPr>
                <w:rFonts w:ascii="Arial" w:hAnsi="Arial" w:cs="Arial"/>
                <w:color w:val="FF0000"/>
                <w:sz w:val="20"/>
                <w:szCs w:val="20"/>
              </w:rPr>
              <w:t>ресурсоснабжающей организацией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их идентичности</w:t>
            </w:r>
            <w:r w:rsidRPr="003129F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14:paraId="5F41C059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D154A8" w:rsidP="00E77D4B" w14:paraId="5F41C056" w14:textId="479177DE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490" w:type="dxa"/>
          </w:tcPr>
          <w:p w:rsidR="00B60F3F" w:rsidRPr="00E77D4B" w:rsidP="00E77D4B" w14:paraId="5F41C058" w14:textId="2036FFD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7D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</w:t>
            </w:r>
            <w:r w:rsidRPr="00E77D4B" w:rsidR="002D4A7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опия паспорта гражданина Российской Федерации (для индивидуального предпринимателя)</w:t>
            </w:r>
          </w:p>
        </w:tc>
      </w:tr>
      <w:tr w14:paraId="5F41C060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D154A8" w:rsidP="00E77D4B" w14:paraId="5F41C05D" w14:textId="59A868BE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490" w:type="dxa"/>
          </w:tcPr>
          <w:p w:rsidR="00BA082E" w:rsidP="00E77D4B" w14:paraId="5F41C05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4B2F03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полномочия лица, подписавшего заявление от имени заявителя</w:t>
            </w:r>
          </w:p>
          <w:p w:rsidR="00B60F3F" w:rsidRPr="001F1BA4" w:rsidP="00E77D4B" w14:paraId="5F41C05F" w14:textId="26940F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03" w:hanging="203"/>
              <w:contextualSpacing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70CF0">
              <w:rPr>
                <w:rFonts w:ascii="Arial" w:hAnsi="Arial" w:cs="Arial"/>
                <w:sz w:val="20"/>
                <w:szCs w:val="20"/>
              </w:rPr>
              <w:t xml:space="preserve">Выписка </w:t>
            </w:r>
            <w:r w:rsidRPr="004B2F03">
              <w:rPr>
                <w:rFonts w:ascii="Arial" w:hAnsi="Arial" w:cs="Arial"/>
                <w:sz w:val="20"/>
                <w:szCs w:val="20"/>
              </w:rPr>
              <w:t>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</w:t>
            </w:r>
          </w:p>
        </w:tc>
      </w:tr>
      <w:tr w14:paraId="5F41C070" w14:textId="77777777" w:rsidTr="005B431E">
        <w:tblPrEx>
          <w:tblW w:w="10915" w:type="dxa"/>
          <w:tblInd w:w="250" w:type="dxa"/>
          <w:tblLayout w:type="fixed"/>
          <w:tblLook w:val="04A0"/>
        </w:tblPrEx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5B431E" w:rsidRPr="00D154A8" w:rsidP="00E77D4B" w14:paraId="5F41C061" w14:textId="6F94A87A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-22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490" w:type="dxa"/>
          </w:tcPr>
          <w:p w:rsidR="005B431E" w:rsidRPr="008705AB" w:rsidP="00E77D4B" w14:paraId="5F41C062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8705AB">
              <w:rPr>
                <w:rFonts w:ascii="Arial" w:hAnsi="Arial" w:cs="Arial"/>
                <w:b/>
                <w:sz w:val="20"/>
                <w:szCs w:val="20"/>
              </w:rPr>
              <w:t xml:space="preserve">Документы, подтверждающие наличие у заявителя обязанности </w:t>
            </w:r>
            <w:r w:rsidRPr="008705AB" w:rsidR="00870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содержанию общего имущества в многоквартирном доме и по предоставлению </w:t>
            </w:r>
            <w:r w:rsidRPr="008705AB" w:rsidR="008705AB">
              <w:rPr>
                <w:rFonts w:ascii="Arial" w:hAnsi="Arial" w:cs="Arial"/>
                <w:b/>
                <w:sz w:val="20"/>
                <w:szCs w:val="20"/>
              </w:rPr>
              <w:t xml:space="preserve">электрической энергии </w:t>
            </w:r>
            <w:r w:rsidRPr="008705AB" w:rsidR="00870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потребителям или обязанности по содержанию общего имущества </w:t>
            </w:r>
            <w:r w:rsidRPr="008705AB">
              <w:rPr>
                <w:rFonts w:ascii="Arial" w:hAnsi="Arial" w:cs="Arial"/>
                <w:b/>
                <w:sz w:val="20"/>
                <w:szCs w:val="20"/>
              </w:rPr>
              <w:t>в многоквартирном доме</w:t>
            </w:r>
            <w:r w:rsidRPr="008705AB" w:rsidR="008705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05AB" w:rsidR="008705AB">
              <w:rPr>
                <w:rFonts w:ascii="Arial" w:hAnsi="Arial" w:cs="Arial"/>
                <w:b/>
                <w:bCs/>
                <w:sz w:val="20"/>
                <w:szCs w:val="20"/>
              </w:rPr>
              <w:t>(в случае заключения договора ресурсоснабжения в целях содержания общего имущества в многоквартирном доме)</w:t>
            </w:r>
          </w:p>
          <w:p w:rsidR="005B431E" w:rsidRPr="004B2F03" w:rsidP="00E77D4B" w14:paraId="5F41C063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для управляющей организации:</w:t>
            </w:r>
          </w:p>
          <w:p w:rsidR="005B431E" w:rsidRPr="004B2F03" w:rsidP="00E77D4B" w14:paraId="5F41C064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</w:t>
            </w:r>
            <w:r w:rsidR="00B60F3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B431E" w:rsidRPr="004B2F03" w:rsidP="00E77D4B" w14:paraId="5F41C065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>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</w:t>
            </w:r>
            <w:r w:rsidR="00B60F3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B431E" w:rsidRPr="004B2F03" w:rsidP="00E77D4B" w14:paraId="5F41C066" w14:textId="7777777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 xml:space="preserve">договор управления многоквартирным домом </w:t>
            </w:r>
            <w:r w:rsidRPr="00346C2D">
              <w:rPr>
                <w:rFonts w:ascii="Arial" w:hAnsi="Arial" w:cs="Arial"/>
                <w:i/>
                <w:color w:val="0070C0"/>
                <w:sz w:val="20"/>
                <w:szCs w:val="20"/>
              </w:rPr>
              <w:t>(если такой заключен)</w:t>
            </w:r>
            <w:r w:rsidR="00B60F3F"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  <w:p w:rsidR="005B431E" w:rsidRPr="004B2F03" w:rsidP="00E77D4B" w14:paraId="5F41C067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для управляющей организации, выбранной по конкурсу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органом местного самоуправления в случаях, предусмотренных жилищным </w:t>
            </w:r>
            <w:hyperlink r:id="rId9" w:history="1">
              <w:r w:rsidRPr="004B2F03">
                <w:rPr>
                  <w:rFonts w:ascii="Arial" w:hAnsi="Arial" w:cs="Arial"/>
                  <w:sz w:val="20"/>
                  <w:szCs w:val="20"/>
                </w:rPr>
                <w:t>законодательством</w:t>
              </w:r>
            </w:hyperlink>
            <w:r w:rsidRPr="004B2F03">
              <w:rPr>
                <w:rFonts w:ascii="Arial" w:hAnsi="Arial" w:cs="Arial"/>
                <w:sz w:val="20"/>
                <w:szCs w:val="20"/>
              </w:rPr>
              <w:t xml:space="preserve"> РФ:</w:t>
            </w:r>
          </w:p>
          <w:p w:rsidR="005B431E" w:rsidRPr="004B2F03" w:rsidP="00E77D4B" w14:paraId="5F41C068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 xml:space="preserve"> протокол открытого конкурса по выбору управляющей организации</w:t>
            </w:r>
            <w:r w:rsidR="00B60F3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B431E" w:rsidRPr="004B2F03" w:rsidP="00E77D4B" w14:paraId="5F41C069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 xml:space="preserve"> договор управления многоквартирным домом</w:t>
            </w:r>
            <w:r w:rsidRPr="00346C2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46C2D">
              <w:rPr>
                <w:rFonts w:ascii="Arial" w:hAnsi="Arial" w:cs="Arial"/>
                <w:i/>
                <w:color w:val="0070C0"/>
                <w:sz w:val="20"/>
                <w:szCs w:val="20"/>
              </w:rPr>
              <w:t>(если такой заключен)</w:t>
            </w:r>
            <w:r w:rsidR="00B60F3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B431E" w:rsidRPr="004B2F03" w:rsidP="00E77D4B" w14:paraId="5F41C06A" w14:textId="7777777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76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для управляющей организации, привлеченной для управления многоквартирным домом товариществом или кооперативом:</w:t>
            </w:r>
          </w:p>
          <w:p w:rsidR="005B431E" w:rsidRPr="004B2F03" w:rsidP="00E77D4B" w14:paraId="5F41C06B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59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>протокол общего собрания собственников помещений в многоквартирном доме, на котором принято решение о выборе управляющей организации</w:t>
            </w:r>
            <w:r w:rsidR="00B60F3F">
              <w:rPr>
                <w:rFonts w:ascii="Arial" w:hAnsi="Arial" w:cs="Arial"/>
                <w:sz w:val="20"/>
                <w:szCs w:val="20"/>
              </w:rPr>
              <w:t>;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431E" w:rsidRPr="004B2F03" w:rsidP="00E77D4B" w14:paraId="5F41C06C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 xml:space="preserve">договор управления многоквартирным домом, заключенный между товариществом или кооперативом и управляющей организацией </w:t>
            </w:r>
            <w:r w:rsidRPr="00346C2D">
              <w:rPr>
                <w:rFonts w:ascii="Arial" w:hAnsi="Arial" w:cs="Arial"/>
                <w:i/>
                <w:color w:val="0070C0"/>
                <w:sz w:val="20"/>
                <w:szCs w:val="20"/>
              </w:rPr>
              <w:t>(если такой заключен)</w:t>
            </w:r>
            <w:r w:rsidR="00B60F3F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5B431E" w:rsidRPr="004B2F03" w:rsidP="00E77D4B" w14:paraId="5F41C06D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76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для товарищества или кооператива</w:t>
            </w:r>
          </w:p>
          <w:p w:rsidR="005B431E" w:rsidRPr="004B2F03" w:rsidP="00E77D4B" w14:paraId="5F41C06E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>протокол общего собрания собственников помещений в многоквартирном доме, в котором создано товарищество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</w:t>
            </w:r>
            <w:r w:rsidR="00B60F3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41755" w:rsidRPr="004B2F03" w:rsidP="00E77D4B" w14:paraId="5F41C06F" w14:textId="777777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59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sz w:val="20"/>
                <w:szCs w:val="20"/>
              </w:rPr>
              <w:t>Устав товарищества или кооператива.</w:t>
            </w:r>
          </w:p>
        </w:tc>
      </w:tr>
      <w:tr w14:paraId="5F41C075" w14:textId="77777777" w:rsidTr="005B431E">
        <w:tblPrEx>
          <w:tblW w:w="10915" w:type="dxa"/>
          <w:tblInd w:w="250" w:type="dxa"/>
          <w:tblLayout w:type="fixed"/>
          <w:tblLook w:val="04A0"/>
        </w:tblPrEx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60F3F" w:rsidRPr="00D154A8" w:rsidP="00E77D4B" w14:paraId="5F41C071" w14:textId="4CEE2203">
            <w:pPr>
              <w:pStyle w:val="ListParagraph"/>
              <w:tabs>
                <w:tab w:val="left" w:pos="26"/>
              </w:tabs>
              <w:autoSpaceDE w:val="0"/>
              <w:autoSpaceDN w:val="0"/>
              <w:adjustRightInd w:val="0"/>
              <w:ind w:left="360" w:hanging="3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490" w:type="dxa"/>
          </w:tcPr>
          <w:p w:rsidR="00B60F3F" w:rsidRPr="001F1BA4" w:rsidP="00E77D4B" w14:paraId="5F41C072" w14:textId="77777777">
            <w:pPr>
              <w:tabs>
                <w:tab w:val="left" w:pos="3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F1B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Для управляющих организаций</w:t>
            </w:r>
          </w:p>
          <w:p w:rsidR="00B60F3F" w:rsidRPr="001F1BA4" w:rsidP="00E77D4B" w14:paraId="5F41C073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B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Лицензия на осуществление предпринимательской деятельности</w:t>
            </w:r>
            <w:r w:rsidRPr="001F1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управлению многоквартирными домами;</w:t>
            </w:r>
          </w:p>
          <w:p w:rsidR="00B60F3F" w:rsidRPr="001F1BA4" w:rsidP="00E77D4B" w14:paraId="5F41C074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BA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Решение органа государственного жилищного надзора</w:t>
            </w:r>
            <w:r w:rsidRPr="001F1B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внесении изменений в реестр лицензий субъекта Российской Федерации.</w:t>
            </w:r>
          </w:p>
        </w:tc>
      </w:tr>
      <w:tr w14:paraId="5F41C07A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E2A42" w:rsidRPr="00D154A8" w:rsidP="00E77D4B" w14:paraId="5F41C076" w14:textId="7BDE6FF3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3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490" w:type="dxa"/>
          </w:tcPr>
          <w:p w:rsidR="001E2A42" w:rsidRPr="00142469" w:rsidP="00E77D4B" w14:paraId="5F41C077" w14:textId="6A57781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4B2F03">
              <w:rPr>
                <w:rFonts w:ascii="Arial" w:hAnsi="Arial" w:cs="Arial"/>
                <w:b/>
                <w:sz w:val="20"/>
                <w:szCs w:val="20"/>
              </w:rPr>
              <w:t>кт разграничения границ балансовой принадлежности сторон (акт разграничения эксплуатационной ответственности сторон)</w:t>
            </w:r>
            <w:r w:rsidR="001F1BA4">
              <w:rPr>
                <w:rFonts w:ascii="Arial" w:hAnsi="Arial" w:cs="Arial"/>
                <w:b/>
                <w:sz w:val="20"/>
                <w:szCs w:val="20"/>
              </w:rPr>
              <w:t xml:space="preserve"> / Акт о технологическом </w:t>
            </w:r>
            <w:r w:rsidRPr="006B3BD8" w:rsidR="001F1BA4">
              <w:rPr>
                <w:rFonts w:ascii="Arial" w:hAnsi="Arial" w:cs="Arial"/>
                <w:b/>
                <w:sz w:val="20"/>
                <w:szCs w:val="20"/>
              </w:rPr>
              <w:t>присоединении</w:t>
            </w:r>
            <w:r w:rsidRPr="006B3BD8" w:rsidR="00C00D0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B3BD8" w:rsidR="00EF7BEE">
              <w:rPr>
                <w:rFonts w:ascii="Arial" w:hAnsi="Arial" w:cs="Arial"/>
                <w:b/>
                <w:sz w:val="20"/>
                <w:szCs w:val="20"/>
              </w:rPr>
              <w:t xml:space="preserve"> уведомление</w:t>
            </w:r>
            <w:r w:rsidRPr="00142469" w:rsidR="00EF7BEE">
              <w:rPr>
                <w:rFonts w:ascii="Arial" w:hAnsi="Arial" w:cs="Arial"/>
                <w:b/>
                <w:sz w:val="20"/>
                <w:szCs w:val="20"/>
              </w:rPr>
              <w:t xml:space="preserve"> об обеспечении сетевой организацией возможности присоединения к электрическим сетям 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  <w:p w:rsidR="001E2A42" w:rsidRPr="008409AF" w:rsidP="00E77D4B" w14:paraId="5F41C078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42469">
              <w:rPr>
                <w:rFonts w:ascii="Arial" w:hAnsi="Arial" w:cs="Arial"/>
                <w:b/>
                <w:sz w:val="20"/>
                <w:szCs w:val="20"/>
              </w:rPr>
              <w:t>или</w:t>
            </w:r>
          </w:p>
          <w:p w:rsidR="00141755" w:rsidRPr="004B2F03" w:rsidP="00E77D4B" w14:paraId="5F41C07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8409AF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факт обращения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заявителя к сетевой организации или иному владельцу объектов электросетевого хозяйства в целях получения таких документов </w:t>
            </w:r>
            <w:r w:rsidRPr="004B2F03">
              <w:rPr>
                <w:rFonts w:ascii="Arial" w:hAnsi="Arial" w:cs="Arial"/>
                <w:i/>
                <w:sz w:val="20"/>
                <w:szCs w:val="20"/>
              </w:rPr>
              <w:t>с приложением отказа этих лиц в п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редоставлении таких документов </w:t>
            </w:r>
            <w:r w:rsidRPr="004B2F03">
              <w:rPr>
                <w:rFonts w:ascii="Arial" w:hAnsi="Arial" w:cs="Arial"/>
                <w:i/>
                <w:sz w:val="20"/>
                <w:szCs w:val="20"/>
              </w:rPr>
              <w:t>или при подтверждени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и истечения срока рассмотрения </w:t>
            </w:r>
            <w:r w:rsidRPr="004B2F03">
              <w:rPr>
                <w:rFonts w:ascii="Arial" w:hAnsi="Arial" w:cs="Arial"/>
                <w:i/>
                <w:sz w:val="20"/>
                <w:szCs w:val="20"/>
              </w:rPr>
              <w:t>обращения заявителя к таким лицам</w:t>
            </w:r>
          </w:p>
        </w:tc>
      </w:tr>
      <w:tr w14:paraId="5F41C084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F14725" w:rsidRPr="00D154A8" w:rsidP="001726E6" w14:paraId="5F41C07B" w14:textId="53D6848D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3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490" w:type="dxa"/>
          </w:tcPr>
          <w:p w:rsidR="00F14725" w:rsidRPr="001F1BA4" w:rsidP="00E77D4B" w14:paraId="5F41C07C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1F1BA4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1F1BA4" w:rsidR="001F1BA4"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Pr="001F1BA4">
              <w:rPr>
                <w:rFonts w:ascii="Arial" w:hAnsi="Arial" w:cs="Arial"/>
                <w:b/>
                <w:sz w:val="20"/>
                <w:szCs w:val="20"/>
              </w:rPr>
              <w:t xml:space="preserve"> о</w:t>
            </w:r>
            <w:r w:rsidRPr="001F1BA4" w:rsidR="001F1BA4">
              <w:rPr>
                <w:rFonts w:ascii="Arial" w:hAnsi="Arial" w:cs="Arial"/>
                <w:b/>
                <w:sz w:val="20"/>
                <w:szCs w:val="20"/>
              </w:rPr>
              <w:t>б установке</w:t>
            </w:r>
            <w:r w:rsidRPr="001F1B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BA4" w:rsidR="001F1BA4">
              <w:rPr>
                <w:rFonts w:ascii="Arial" w:hAnsi="Arial" w:cs="Arial"/>
                <w:b/>
                <w:sz w:val="20"/>
                <w:szCs w:val="20"/>
              </w:rPr>
              <w:t xml:space="preserve">и приеме </w:t>
            </w:r>
            <w:r w:rsidRPr="001F1BA4">
              <w:rPr>
                <w:rFonts w:ascii="Arial" w:hAnsi="Arial" w:cs="Arial"/>
                <w:b/>
                <w:sz w:val="20"/>
                <w:szCs w:val="20"/>
              </w:rPr>
              <w:t xml:space="preserve">в эксплуатацию коллективного (общедомового) прибора учета электрической энергии </w:t>
            </w:r>
            <w:r w:rsidRPr="007D20F5" w:rsidR="001F1BA4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(при наличии такого прибора учета)</w:t>
            </w:r>
          </w:p>
          <w:p w:rsidR="00F135E5" w:rsidP="00E77D4B" w14:paraId="5F41C07D" w14:textId="777777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F14725" w:rsidP="00E77D4B" w14:paraId="5F41C07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 xml:space="preserve">Документ о допуске в эксплуатацию приборов учета электрической энергии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нежилых помещений, </w:t>
            </w:r>
            <w:r w:rsidRPr="004B2F03">
              <w:rPr>
                <w:rFonts w:ascii="Arial" w:hAnsi="Arial" w:cs="Arial"/>
                <w:b/>
                <w:sz w:val="20"/>
                <w:szCs w:val="20"/>
              </w:rPr>
              <w:t xml:space="preserve">приобретающих услугу энергоснабжения от исполнителя коммунальных услуг </w:t>
            </w:r>
            <w:r w:rsidRPr="007D20F5">
              <w:rPr>
                <w:rFonts w:ascii="Arial" w:hAnsi="Arial" w:cs="Arial"/>
                <w:i/>
                <w:color w:val="0070C0"/>
                <w:sz w:val="20"/>
                <w:szCs w:val="20"/>
              </w:rPr>
              <w:t>(при их наличии)</w:t>
            </w:r>
          </w:p>
          <w:p w:rsidR="001F1BA4" w:rsidP="00E77D4B" w14:paraId="5F41C07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135E5" w:rsidP="00E77D4B" w14:paraId="5F41C080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135E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Дополнительно </w:t>
            </w:r>
            <w:r w:rsidRPr="00F135E5">
              <w:rPr>
                <w:rFonts w:ascii="Arial" w:hAnsi="Arial" w:cs="Arial"/>
                <w:b/>
                <w:sz w:val="20"/>
                <w:szCs w:val="20"/>
              </w:rPr>
              <w:t xml:space="preserve">Акт снятия показаний прибора учета/Акт проверки прибора </w:t>
            </w:r>
            <w:r w:rsidRPr="00F135E5">
              <w:rPr>
                <w:rFonts w:ascii="Arial" w:hAnsi="Arial" w:cs="Arial"/>
                <w:b/>
                <w:sz w:val="20"/>
                <w:szCs w:val="20"/>
              </w:rPr>
              <w:t>учета</w:t>
            </w:r>
            <w:r w:rsidRPr="00F135E5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Pr="00F135E5">
              <w:rPr>
                <w:rFonts w:ascii="Arial" w:hAnsi="Arial" w:cs="Arial"/>
                <w:sz w:val="20"/>
                <w:szCs w:val="20"/>
              </w:rPr>
              <w:t>иной документ, содержащий информацию о  начальных показаниях приборов учета</w:t>
            </w:r>
            <w:r w:rsidRPr="00F135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35E5">
              <w:rPr>
                <w:rFonts w:ascii="Arial" w:hAnsi="Arial" w:cs="Arial"/>
                <w:sz w:val="20"/>
                <w:szCs w:val="20"/>
              </w:rPr>
              <w:t xml:space="preserve">(на дату начала исполнения договора).   </w:t>
            </w:r>
            <w:r w:rsidRPr="00F135E5">
              <w:rPr>
                <w:rFonts w:ascii="Arial" w:hAnsi="Arial" w:cs="Arial"/>
                <w:sz w:val="20"/>
                <w:szCs w:val="20"/>
                <w:u w:val="single"/>
              </w:rPr>
              <w:t>Данный документ предоставляется дополнительно</w:t>
            </w:r>
            <w:r w:rsidRPr="00F135E5">
              <w:rPr>
                <w:rFonts w:ascii="Arial" w:hAnsi="Arial" w:cs="Arial"/>
                <w:sz w:val="20"/>
                <w:szCs w:val="20"/>
              </w:rPr>
              <w:t xml:space="preserve"> только в случае, </w:t>
            </w:r>
            <w:r w:rsidRPr="00F135E5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sz w:val="20"/>
                <w:szCs w:val="20"/>
              </w:rPr>
              <w:t>в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Акте допуска прибора учета в эксплуатацию  отсутствуют  данные  о  начальных показаниях приборов учета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sz w:val="20"/>
                <w:szCs w:val="20"/>
              </w:rPr>
              <w:t>(на дату начала исполнения договора)  или  иные сведения,  содержащие описание приборов учета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97DDA">
              <w:rPr>
                <w:rFonts w:ascii="Arial" w:hAnsi="Arial" w:cs="Arial"/>
                <w:sz w:val="20"/>
                <w:szCs w:val="20"/>
              </w:rPr>
              <w:t>(типов приборов учета и их классов точности, мест их установки, заводских номеров, даты предыдущей и очередной государственной пов</w:t>
            </w:r>
            <w:r>
              <w:rPr>
                <w:rFonts w:ascii="Arial" w:hAnsi="Arial" w:cs="Arial"/>
                <w:sz w:val="20"/>
                <w:szCs w:val="20"/>
              </w:rPr>
              <w:t xml:space="preserve">ерки, </w:t>
            </w:r>
            <w:r>
              <w:rPr>
                <w:rFonts w:ascii="Arial" w:hAnsi="Arial" w:cs="Arial"/>
                <w:sz w:val="20"/>
                <w:szCs w:val="20"/>
              </w:rPr>
              <w:t>межповерочного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интервала).</w:t>
            </w:r>
          </w:p>
          <w:p w:rsidR="00F135E5" w:rsidP="00E77D4B" w14:paraId="5F41C081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135E5" w:rsidRPr="0032793F" w:rsidP="00E77D4B" w14:paraId="5F41C082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32793F">
              <w:rPr>
                <w:rFonts w:ascii="Arial" w:hAnsi="Arial" w:cs="Arial"/>
                <w:i/>
                <w:sz w:val="20"/>
                <w:szCs w:val="20"/>
              </w:rPr>
              <w:t>При непредставлении заявителем подтвержденных данных о начальных показаниях приборов учета</w:t>
            </w:r>
            <w:r w:rsidRPr="003279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 xml:space="preserve">(на дату начала исполнения договора) </w:t>
            </w:r>
            <w:r w:rsidR="007D20F5">
              <w:rPr>
                <w:rFonts w:ascii="Arial" w:hAnsi="Arial" w:cs="Arial"/>
                <w:i/>
                <w:sz w:val="20"/>
                <w:szCs w:val="20"/>
              </w:rPr>
              <w:t>ресурсоснабжающей организацией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 xml:space="preserve"> (сетевой организацией) будет проведено контрольное снятие показаний приборов учета.</w:t>
            </w:r>
            <w:r w:rsidRPr="003279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 xml:space="preserve">Заявитель обязан обеспечить допуск (если он потребуется) представителя </w:t>
            </w:r>
            <w:r w:rsidR="007D20F5">
              <w:rPr>
                <w:rFonts w:ascii="Arial" w:hAnsi="Arial" w:cs="Arial"/>
                <w:i/>
                <w:sz w:val="20"/>
                <w:szCs w:val="20"/>
              </w:rPr>
              <w:t>ресурсоснабжающей организации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 xml:space="preserve"> (сетевой организации) для контрольного снятия показаний приборов учета.</w:t>
            </w:r>
          </w:p>
          <w:p w:rsidR="00F14725" w:rsidRPr="004B2F03" w:rsidP="00E77D4B" w14:paraId="5F41C083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предоставляются при наличии соответствующих приборов учета</w:t>
            </w:r>
          </w:p>
        </w:tc>
      </w:tr>
      <w:tr w14:paraId="5F41C087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E2A42" w:rsidRPr="00D154A8" w:rsidP="00E77D4B" w14:paraId="5F41C085" w14:textId="3076F907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490" w:type="dxa"/>
          </w:tcPr>
          <w:p w:rsidR="001F1BA4" w:rsidRPr="001F1BA4" w:rsidP="00E77D4B" w14:paraId="5F41C086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F1BA4">
              <w:rPr>
                <w:rFonts w:ascii="Arial" w:hAnsi="Arial" w:cs="Arial"/>
                <w:b/>
                <w:sz w:val="20"/>
                <w:szCs w:val="20"/>
              </w:rPr>
              <w:t>Протокол общего собрания собственников помещений</w:t>
            </w:r>
            <w:r w:rsidRPr="001F1BA4">
              <w:rPr>
                <w:rFonts w:ascii="Arial" w:hAnsi="Arial" w:cs="Arial"/>
                <w:sz w:val="20"/>
                <w:szCs w:val="20"/>
              </w:rPr>
              <w:t xml:space="preserve"> в многоквартирном доме, на котором принято решение о внесении собственниками и пользователями помещений в многоквартирном доме платы за электроэнергию непосредственно ресурсоснабжающей организации </w:t>
            </w:r>
            <w:r w:rsidRPr="007D20F5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(если такое решение принято)</w:t>
            </w:r>
          </w:p>
        </w:tc>
      </w:tr>
      <w:tr w14:paraId="5F41C08B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E2A42" w:rsidRPr="00D154A8" w:rsidP="00E77D4B" w14:paraId="5F41C088" w14:textId="28627D99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3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490" w:type="dxa"/>
          </w:tcPr>
          <w:p w:rsidR="004B2F03" w:rsidRPr="004B2F03" w:rsidP="00E77D4B" w14:paraId="5F41C08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 xml:space="preserve">Документы, содержащие сведения о размере площади каждого жилого и нежилого помещения в многоквартирном доме, </w:t>
            </w:r>
            <w:r w:rsidRPr="00346C2D">
              <w:rPr>
                <w:rFonts w:ascii="Arial" w:hAnsi="Arial" w:cs="Arial"/>
                <w:sz w:val="20"/>
                <w:szCs w:val="20"/>
              </w:rPr>
              <w:t xml:space="preserve">а также об общей площади помещений в многоквартирном доме, включая помещения, входящие в состав общего имущества в многоквартирном доме, </w:t>
            </w:r>
          </w:p>
          <w:p w:rsidR="001F1BA4" w:rsidRPr="001F1BA4" w:rsidP="00E77D4B" w14:paraId="5F41C08A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 xml:space="preserve">или о размере площади жилого дома и отапливаемых помещений надворных построек, </w:t>
            </w:r>
            <w:r w:rsidRPr="00346C2D">
              <w:rPr>
                <w:rFonts w:ascii="Arial" w:hAnsi="Arial" w:cs="Arial"/>
                <w:sz w:val="20"/>
                <w:szCs w:val="20"/>
              </w:rPr>
              <w:t>а также размере площади земельного участка, не занятого жилым домом и надворными постройками (</w:t>
            </w:r>
            <w:r w:rsidRPr="004B2F03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Заявителем при заключении договора энергоснабжения в отношении домовладения)</w:t>
            </w:r>
          </w:p>
        </w:tc>
      </w:tr>
      <w:tr w14:paraId="5F41C08E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E2A42" w:rsidRPr="00D154A8" w:rsidP="00E77D4B" w14:paraId="5F41C08C" w14:textId="4BE8B0B3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0490" w:type="dxa"/>
          </w:tcPr>
          <w:p w:rsidR="001E2A42" w:rsidRPr="004B2F03" w:rsidP="00E77D4B" w14:paraId="5F41C08D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 xml:space="preserve">Однолинейная схема электрической сети </w:t>
            </w:r>
            <w:r w:rsidRPr="004B2F03">
              <w:rPr>
                <w:rFonts w:ascii="Arial" w:hAnsi="Arial" w:cs="Arial"/>
                <w:sz w:val="20"/>
                <w:szCs w:val="20"/>
              </w:rPr>
              <w:t>заявителя с указанием точек присоединения к объе</w:t>
            </w:r>
            <w:r>
              <w:rPr>
                <w:rFonts w:ascii="Arial" w:hAnsi="Arial" w:cs="Arial"/>
                <w:sz w:val="20"/>
                <w:szCs w:val="20"/>
              </w:rPr>
              <w:t xml:space="preserve">ктам электросетевого хозяйства 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и с распределением по точкам поставки величины максимальной мощности </w:t>
            </w:r>
            <w:r w:rsidRPr="004B2F03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устройств</w:t>
            </w:r>
          </w:p>
        </w:tc>
      </w:tr>
      <w:tr w14:paraId="5F41C093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F135E5" w:rsidRPr="00D154A8" w:rsidP="00E77D4B" w14:paraId="5F41C08F" w14:textId="79C8575D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3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10490" w:type="dxa"/>
          </w:tcPr>
          <w:p w:rsidR="00F135E5" w:rsidRPr="004B2F03" w:rsidP="00E77D4B" w14:paraId="5F41C090" w14:textId="512B565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соблюдение установленного порядка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оборудования дома </w:t>
            </w:r>
            <w:r w:rsidRPr="004B2F03">
              <w:rPr>
                <w:rFonts w:ascii="Arial" w:hAnsi="Arial" w:cs="Arial"/>
                <w:b/>
                <w:sz w:val="20"/>
                <w:szCs w:val="20"/>
              </w:rPr>
              <w:t>электроплитами или электроотопительными установками</w:t>
            </w:r>
          </w:p>
          <w:p w:rsidR="00F135E5" w:rsidRPr="004B2F03" w:rsidP="00E77D4B" w14:paraId="5F41C091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4B2F03">
              <w:rPr>
                <w:rFonts w:ascii="Arial" w:hAnsi="Arial" w:cs="Arial"/>
                <w:i/>
                <w:sz w:val="20"/>
                <w:szCs w:val="20"/>
              </w:rPr>
              <w:t xml:space="preserve">предоставляется заявителем для применения к нему для расчетов по договору тарифов </w:t>
            </w:r>
            <w:r w:rsidRPr="004B2F03">
              <w:rPr>
                <w:rFonts w:ascii="Arial" w:hAnsi="Arial" w:cs="Arial"/>
                <w:i/>
                <w:sz w:val="20"/>
                <w:szCs w:val="20"/>
              </w:rPr>
              <w:t>с  понижающим</w:t>
            </w:r>
            <w:r w:rsidRPr="004B2F03">
              <w:rPr>
                <w:rFonts w:ascii="Arial" w:hAnsi="Arial" w:cs="Arial"/>
                <w:i/>
                <w:sz w:val="20"/>
                <w:szCs w:val="20"/>
              </w:rPr>
              <w:t xml:space="preserve"> коэффициентом 0,7 (применяемого в отношении электрической энергии, потребляемой населением, проживающим в сельских населенных пунктах, а также городских населенных пунктах в домах, оборудованных в </w:t>
            </w:r>
            <w:r w:rsidRPr="004B2F03">
              <w:rPr>
                <w:rFonts w:ascii="Arial" w:hAnsi="Arial" w:cs="Arial"/>
                <w:i/>
                <w:sz w:val="20"/>
                <w:szCs w:val="20"/>
                <w:u w:val="single"/>
              </w:rPr>
              <w:t>установленном порядке</w:t>
            </w:r>
            <w:r w:rsidRPr="004B2F03">
              <w:rPr>
                <w:rFonts w:ascii="Arial" w:hAnsi="Arial" w:cs="Arial"/>
                <w:i/>
                <w:sz w:val="20"/>
                <w:szCs w:val="20"/>
              </w:rPr>
              <w:t xml:space="preserve"> стационарными электроплитами и электроотопительными установками).</w:t>
            </w:r>
          </w:p>
          <w:p w:rsidR="00F135E5" w:rsidRPr="004B2F03" w:rsidP="00E77D4B" w14:paraId="5F41C092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03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каждому дому</w:t>
            </w:r>
          </w:p>
        </w:tc>
      </w:tr>
      <w:tr w14:paraId="045BD25C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A010E" w:rsidRPr="00B70324" w:rsidP="00E77D4B" w14:paraId="2D33F050" w14:textId="5241F388">
            <w:pPr>
              <w:pStyle w:val="ListParagraph"/>
              <w:tabs>
                <w:tab w:val="left" w:pos="307"/>
              </w:tabs>
              <w:autoSpaceDE w:val="0"/>
              <w:autoSpaceDN w:val="0"/>
              <w:adjustRightInd w:val="0"/>
              <w:ind w:left="360" w:hanging="33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0324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10490" w:type="dxa"/>
          </w:tcPr>
          <w:p w:rsidR="005A010E" w:rsidRPr="00B70324" w:rsidP="001A72AF" w14:paraId="5FA6CC46" w14:textId="704BDD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7032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 технического учета объекта энергоснабжения, содержащий информацию о количестве помещений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  <w:lang w:eastAsia="ru-RU"/>
              </w:rPr>
              <w:footnoteReference w:id="6"/>
            </w:r>
            <w:r w:rsidRPr="00B7032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5A010E" w:rsidRPr="00B70324" w:rsidP="00B70324" w14:paraId="3C96E855" w14:textId="2CFF1F88">
            <w:pPr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70324">
              <w:rPr>
                <w:rFonts w:ascii="Arial" w:hAnsi="Arial" w:cs="Arial"/>
                <w:i/>
                <w:color w:val="0070C0"/>
                <w:sz w:val="20"/>
                <w:szCs w:val="20"/>
              </w:rPr>
              <w:t>П</w:t>
            </w:r>
            <w:r w:rsidRPr="00B70324">
              <w:rPr>
                <w:rFonts w:ascii="Arial" w:eastAsia="Calibri" w:hAnsi="Arial" w:cs="Arial"/>
                <w:i/>
                <w:color w:val="0070C0"/>
                <w:sz w:val="20"/>
                <w:szCs w:val="20"/>
              </w:rPr>
              <w:t>редоставляется по желанию заявителя</w:t>
            </w:r>
            <w:r w:rsidRPr="00B70324">
              <w:rPr>
                <w:rFonts w:ascii="Arial" w:hAnsi="Arial" w:cs="Arial"/>
                <w:i/>
                <w:color w:val="0070C0"/>
                <w:sz w:val="20"/>
                <w:szCs w:val="20"/>
              </w:rPr>
              <w:t>. При непредставлении информации весь объем коммунального ресурса будет распределен по диапазонам объемов потребления электрической энергии без привязки к количеству помещений.</w:t>
            </w:r>
          </w:p>
        </w:tc>
      </w:tr>
      <w:tr w14:paraId="5F41C095" w14:textId="77777777" w:rsidTr="00027931">
        <w:tblPrEx>
          <w:tblW w:w="10915" w:type="dxa"/>
          <w:tblInd w:w="250" w:type="dxa"/>
          <w:tblLayout w:type="fixed"/>
          <w:tblLook w:val="04A0"/>
        </w:tblPrEx>
        <w:tc>
          <w:tcPr>
            <w:tcW w:w="10915" w:type="dxa"/>
            <w:gridSpan w:val="2"/>
            <w:tcMar>
              <w:left w:w="0" w:type="dxa"/>
              <w:right w:w="0" w:type="dxa"/>
            </w:tcMar>
          </w:tcPr>
          <w:p w:rsidR="00F135E5" w:rsidRPr="004B2F03" w:rsidP="00E77D4B" w14:paraId="5F41C094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й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ниже документ предоставля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а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ого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14:paraId="5F41C09A" w14:textId="77777777" w:rsidTr="005B431E">
        <w:tblPrEx>
          <w:tblW w:w="10915" w:type="dxa"/>
          <w:tblInd w:w="250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1E2A42" w:rsidRPr="00D154A8" w:rsidP="00E77D4B" w14:paraId="5F41C096" w14:textId="763F24EE">
            <w:pPr>
              <w:pStyle w:val="ListParagraph"/>
              <w:tabs>
                <w:tab w:val="left" w:pos="141"/>
              </w:tabs>
              <w:autoSpaceDE w:val="0"/>
              <w:autoSpaceDN w:val="0"/>
              <w:adjustRightInd w:val="0"/>
              <w:ind w:left="360" w:hanging="334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D154A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175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154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490" w:type="dxa"/>
          </w:tcPr>
          <w:p w:rsidR="00346C2D" w:rsidP="00E77D4B" w14:paraId="5F41C097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B2F03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4B2F03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F135E5" w:rsidP="00E77D4B" w14:paraId="5F41C098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F135E5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1E2A42" w:rsidRPr="004B2F03" w:rsidP="00E77D4B" w14:paraId="5F41C099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135E5">
              <w:rPr>
                <w:rFonts w:ascii="Arial" w:hAnsi="Arial" w:cs="Arial"/>
                <w:i/>
                <w:color w:val="0070C0"/>
                <w:sz w:val="20"/>
                <w:szCs w:val="20"/>
              </w:rPr>
              <w:t>форма договора энергоснабжения размещена на сайте</w:t>
            </w:r>
          </w:p>
        </w:tc>
      </w:tr>
    </w:tbl>
    <w:p w:rsidR="001E2A42" w:rsidRPr="004B2F03" w:rsidP="00E77D4B" w14:paraId="5F41C0AA" w14:textId="73594BA3">
      <w:pPr>
        <w:spacing w:after="0" w:line="240" w:lineRule="auto"/>
        <w:ind w:right="750"/>
        <w:contextualSpacing/>
        <w:outlineLvl w:val="0"/>
        <w:rPr>
          <w:rFonts w:ascii="Arial" w:hAnsi="Arial" w:cs="Arial"/>
          <w:b/>
          <w:bCs/>
          <w:kern w:val="36"/>
        </w:rPr>
      </w:pPr>
    </w:p>
    <w:sectPr w:rsidSect="006C3D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284" w:bottom="284" w:left="425" w:header="0" w:footer="2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814" w14:paraId="5F41C0AD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1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16-0116,  ID:34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814" w:rsidRPr="000053EA" w:rsidP="000053EA" w14:paraId="5F41C0AE" w14:textId="11D0B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3EA" w14:paraId="04DCF8A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53463" w:rsidP="007F113D" w14:paraId="07EE61C5" w14:textId="77777777">
      <w:pPr>
        <w:spacing w:after="0" w:line="240" w:lineRule="auto"/>
      </w:pPr>
      <w:r>
        <w:separator/>
      </w:r>
    </w:p>
  </w:footnote>
  <w:footnote w:type="continuationSeparator" w:id="1">
    <w:p w:rsidR="00E53463" w:rsidP="007F113D" w14:paraId="546E97FF" w14:textId="77777777">
      <w:pPr>
        <w:spacing w:after="0" w:line="240" w:lineRule="auto"/>
      </w:pPr>
      <w:r>
        <w:continuationSeparator/>
      </w:r>
    </w:p>
  </w:footnote>
  <w:footnote w:id="2">
    <w:p w:rsidR="00D311BC" w:rsidRPr="001F1BA4" w:rsidP="001F1BA4" w14:paraId="5F41C0B2" w14:textId="77777777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1F1BA4">
        <w:rPr>
          <w:rStyle w:val="FootnoteReference"/>
          <w:rFonts w:ascii="Arial" w:hAnsi="Arial" w:cs="Arial"/>
          <w:sz w:val="16"/>
          <w:szCs w:val="16"/>
        </w:rPr>
        <w:footnoteRef/>
      </w:r>
      <w:r w:rsidRPr="001F1BA4">
        <w:rPr>
          <w:rFonts w:ascii="Arial" w:hAnsi="Arial" w:cs="Arial"/>
          <w:sz w:val="16"/>
          <w:szCs w:val="16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  <w:r w:rsidR="001F1BA4">
        <w:rPr>
          <w:rFonts w:ascii="Arial" w:hAnsi="Arial" w:cs="Arial"/>
          <w:sz w:val="16"/>
          <w:szCs w:val="16"/>
        </w:rPr>
        <w:t>№</w:t>
      </w:r>
      <w:r w:rsidRPr="001F1BA4" w:rsidR="001F1BA4">
        <w:rPr>
          <w:rFonts w:ascii="Arial" w:hAnsi="Arial" w:cs="Arial"/>
          <w:sz w:val="16"/>
          <w:szCs w:val="16"/>
        </w:rPr>
        <w:t xml:space="preserve"> </w:t>
      </w:r>
      <w:r w:rsidRPr="001F1BA4">
        <w:rPr>
          <w:rFonts w:ascii="Arial" w:hAnsi="Arial" w:cs="Arial"/>
          <w:sz w:val="16"/>
          <w:szCs w:val="16"/>
        </w:rPr>
        <w:t>442</w:t>
      </w:r>
      <w:r w:rsidR="001F1BA4">
        <w:rPr>
          <w:rFonts w:ascii="Arial" w:hAnsi="Arial" w:cs="Arial"/>
          <w:sz w:val="16"/>
          <w:szCs w:val="16"/>
        </w:rPr>
        <w:t>;</w:t>
      </w:r>
    </w:p>
  </w:footnote>
  <w:footnote w:id="3">
    <w:p w:rsidR="001E2A42" w:rsidRPr="001F1BA4" w:rsidP="001F1BA4" w14:paraId="5F41C0B3" w14:textId="7777777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16"/>
          <w:szCs w:val="16"/>
        </w:rPr>
      </w:pPr>
      <w:r w:rsidRPr="001F1BA4">
        <w:rPr>
          <w:rStyle w:val="FootnoteReference"/>
          <w:rFonts w:ascii="Arial" w:hAnsi="Arial" w:cs="Arial"/>
          <w:sz w:val="16"/>
          <w:szCs w:val="16"/>
        </w:rPr>
        <w:footnoteRef/>
      </w:r>
      <w:r w:rsidRPr="001F1BA4">
        <w:rPr>
          <w:rFonts w:ascii="Arial" w:hAnsi="Arial" w:cs="Arial"/>
          <w:sz w:val="16"/>
          <w:szCs w:val="16"/>
        </w:rPr>
        <w:t xml:space="preserve"> Указанный документ утвержден Постановлением Правительства РФ от 14.02.2012 № 124</w:t>
      </w:r>
      <w:r w:rsidR="001F1BA4">
        <w:rPr>
          <w:rFonts w:ascii="Arial" w:hAnsi="Arial" w:cs="Arial"/>
          <w:sz w:val="16"/>
          <w:szCs w:val="16"/>
        </w:rPr>
        <w:t>;</w:t>
      </w:r>
    </w:p>
  </w:footnote>
  <w:footnote w:id="4">
    <w:p w:rsidR="001F1BA4" w:rsidP="001F1BA4" w14:paraId="5F41C0B4" w14:textId="77777777">
      <w:pPr>
        <w:pStyle w:val="FootnoteText"/>
        <w:jc w:val="both"/>
      </w:pPr>
      <w:r w:rsidRPr="001F1BA4">
        <w:rPr>
          <w:rStyle w:val="FootnoteReference"/>
          <w:rFonts w:ascii="Arial" w:hAnsi="Arial" w:cs="Arial"/>
          <w:sz w:val="16"/>
          <w:szCs w:val="16"/>
        </w:rPr>
        <w:footnoteRef/>
      </w:r>
      <w:r w:rsidRPr="001F1BA4">
        <w:rPr>
          <w:rFonts w:ascii="Arial" w:hAnsi="Arial" w:cs="Arial"/>
          <w:sz w:val="16"/>
          <w:szCs w:val="16"/>
        </w:rPr>
        <w:t xml:space="preserve"> </w:t>
      </w:r>
      <w:r w:rsidRPr="001F1BA4">
        <w:rPr>
          <w:rFonts w:ascii="Arial" w:eastAsia="Times New Roman" w:hAnsi="Arial" w:cs="Arial"/>
          <w:sz w:val="16"/>
          <w:szCs w:val="16"/>
          <w:lang w:eastAsia="ru-RU"/>
        </w:rPr>
        <w:t xml:space="preserve">Если подключение (технологическое присоединение) многоквартирного дома (жилого дома) осуществлено до вступления в силу </w:t>
      </w:r>
      <w:hyperlink r:id="rId1" w:history="1">
        <w:r w:rsidRPr="001F1BA4">
          <w:rPr>
            <w:rFonts w:ascii="Arial" w:eastAsia="Times New Roman" w:hAnsi="Arial" w:cs="Arial"/>
            <w:sz w:val="16"/>
            <w:szCs w:val="16"/>
            <w:lang w:eastAsia="ru-RU"/>
          </w:rPr>
          <w:t>постановления</w:t>
        </w:r>
      </w:hyperlink>
      <w:r w:rsidRPr="001F1BA4">
        <w:rPr>
          <w:rFonts w:ascii="Arial" w:eastAsia="Times New Roman" w:hAnsi="Arial" w:cs="Arial"/>
          <w:sz w:val="16"/>
          <w:szCs w:val="16"/>
          <w:lang w:eastAsia="ru-RU"/>
        </w:rPr>
        <w:t xml:space="preserve">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обеспечения», указанные документы прилагаются при их наличии.</w:t>
      </w:r>
    </w:p>
  </w:footnote>
  <w:footnote w:id="5">
    <w:p w:rsidR="00F135E5" w:rsidRPr="001A72AF" w:rsidP="000053EA" w14:paraId="5F41C0B6" w14:textId="65B769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A010E">
        <w:rPr>
          <w:rStyle w:val="FootnoteReference"/>
          <w:rFonts w:ascii="Arial" w:hAnsi="Arial" w:cs="Arial"/>
          <w:sz w:val="16"/>
          <w:szCs w:val="16"/>
        </w:rPr>
        <w:footnoteRef/>
      </w:r>
      <w:r w:rsidRPr="005A010E">
        <w:rPr>
          <w:rFonts w:ascii="Arial" w:hAnsi="Arial" w:cs="Arial"/>
          <w:sz w:val="16"/>
          <w:szCs w:val="16"/>
        </w:rPr>
        <w:t xml:space="preserve"> </w:t>
      </w:r>
      <w:r w:rsidRPr="001A72AF">
        <w:rPr>
          <w:rFonts w:ascii="Arial" w:hAnsi="Arial" w:cs="Arial"/>
          <w:sz w:val="16"/>
          <w:szCs w:val="16"/>
        </w:rPr>
        <w:t>Подробная информация о порядке применения тарифа с понижающим коэффициентом 0,7 и перечень необходимых к предоставлению документов для применения такого тарифа содержатся на сайте в разделе «Клиентам – Физическим лицам – Применение тарифов для домов с электроплитами и электронагревателями</w:t>
      </w:r>
      <w:r w:rsidRPr="001A72AF" w:rsidR="006331AB">
        <w:rPr>
          <w:rFonts w:ascii="Arial" w:hAnsi="Arial" w:cs="Arial"/>
          <w:sz w:val="16"/>
          <w:szCs w:val="16"/>
        </w:rPr>
        <w:t>»</w:t>
      </w:r>
      <w:r w:rsidRPr="001A72AF">
        <w:rPr>
          <w:rFonts w:ascii="Arial" w:hAnsi="Arial" w:cs="Arial"/>
          <w:sz w:val="16"/>
          <w:szCs w:val="16"/>
        </w:rPr>
        <w:t xml:space="preserve">. </w:t>
      </w:r>
    </w:p>
  </w:footnote>
  <w:footnote w:id="6">
    <w:p w:rsidR="005A010E" w:rsidRPr="001A72AF" w:rsidP="005A010E" w14:paraId="7DBBFA90" w14:textId="23DECE9D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A364F9">
        <w:rPr>
          <w:rStyle w:val="FootnoteReference"/>
          <w:rFonts w:ascii="Arial" w:hAnsi="Arial" w:cs="Arial"/>
          <w:sz w:val="16"/>
          <w:szCs w:val="16"/>
        </w:rPr>
        <w:footnoteRef/>
      </w:r>
      <w:r w:rsidRPr="00A364F9">
        <w:rPr>
          <w:rFonts w:ascii="Arial" w:hAnsi="Arial" w:cs="Arial"/>
          <w:sz w:val="16"/>
          <w:szCs w:val="16"/>
        </w:rPr>
        <w:t xml:space="preserve"> Документ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</w:t>
      </w:r>
      <w:bookmarkStart w:id="0" w:name="_GoBack"/>
      <w:bookmarkEnd w:id="0"/>
      <w:r w:rsidRPr="00A364F9">
        <w:rPr>
          <w:rFonts w:ascii="Arial" w:hAnsi="Arial" w:cs="Arial"/>
          <w:sz w:val="16"/>
          <w:szCs w:val="16"/>
        </w:rPr>
        <w:t>ребителей».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3EA" w14:paraId="42FE6F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3EA" w14:paraId="495254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53EA" w14:paraId="33B71B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64357C"/>
    <w:multiLevelType w:val="hybridMultilevel"/>
    <w:tmpl w:val="058AD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EF6"/>
    <w:multiLevelType w:val="hybridMultilevel"/>
    <w:tmpl w:val="4EA8DD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D1C2B"/>
    <w:multiLevelType w:val="hybridMultilevel"/>
    <w:tmpl w:val="97FAEE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F5259"/>
    <w:multiLevelType w:val="hybridMultilevel"/>
    <w:tmpl w:val="BCD60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D5365"/>
    <w:multiLevelType w:val="hybridMultilevel"/>
    <w:tmpl w:val="24AEA7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1835243"/>
    <w:multiLevelType w:val="hybridMultilevel"/>
    <w:tmpl w:val="7D48CAF6"/>
    <w:lvl w:ilvl="0">
      <w:start w:val="1"/>
      <w:numFmt w:val="decimal"/>
      <w:lvlText w:val="%1)"/>
      <w:lvlJc w:val="left"/>
      <w:pPr>
        <w:ind w:left="4875" w:hanging="360"/>
      </w:pPr>
      <w:rPr>
        <w:rFonts w:hint="default"/>
        <w:color w:val="0070C0"/>
      </w:rPr>
    </w:lvl>
    <w:lvl w:ilvl="1" w:tentative="1">
      <w:start w:val="1"/>
      <w:numFmt w:val="lowerLetter"/>
      <w:lvlText w:val="%2."/>
      <w:lvlJc w:val="left"/>
      <w:pPr>
        <w:ind w:left="5595" w:hanging="360"/>
      </w:pPr>
    </w:lvl>
    <w:lvl w:ilvl="2" w:tentative="1">
      <w:start w:val="1"/>
      <w:numFmt w:val="lowerRoman"/>
      <w:lvlText w:val="%3."/>
      <w:lvlJc w:val="right"/>
      <w:pPr>
        <w:ind w:left="6315" w:hanging="180"/>
      </w:pPr>
    </w:lvl>
    <w:lvl w:ilvl="3" w:tentative="1">
      <w:start w:val="1"/>
      <w:numFmt w:val="decimal"/>
      <w:lvlText w:val="%4."/>
      <w:lvlJc w:val="left"/>
      <w:pPr>
        <w:ind w:left="7035" w:hanging="360"/>
      </w:pPr>
    </w:lvl>
    <w:lvl w:ilvl="4" w:tentative="1">
      <w:start w:val="1"/>
      <w:numFmt w:val="lowerLetter"/>
      <w:lvlText w:val="%5."/>
      <w:lvlJc w:val="left"/>
      <w:pPr>
        <w:ind w:left="7755" w:hanging="360"/>
      </w:pPr>
    </w:lvl>
    <w:lvl w:ilvl="5" w:tentative="1">
      <w:start w:val="1"/>
      <w:numFmt w:val="lowerRoman"/>
      <w:lvlText w:val="%6."/>
      <w:lvlJc w:val="right"/>
      <w:pPr>
        <w:ind w:left="8475" w:hanging="180"/>
      </w:pPr>
    </w:lvl>
    <w:lvl w:ilvl="6" w:tentative="1">
      <w:start w:val="1"/>
      <w:numFmt w:val="decimal"/>
      <w:lvlText w:val="%7."/>
      <w:lvlJc w:val="left"/>
      <w:pPr>
        <w:ind w:left="9195" w:hanging="360"/>
      </w:pPr>
    </w:lvl>
    <w:lvl w:ilvl="7" w:tentative="1">
      <w:start w:val="1"/>
      <w:numFmt w:val="lowerLetter"/>
      <w:lvlText w:val="%8."/>
      <w:lvlJc w:val="left"/>
      <w:pPr>
        <w:ind w:left="9915" w:hanging="360"/>
      </w:pPr>
    </w:lvl>
    <w:lvl w:ilvl="8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8">
    <w:nsid w:val="5EC31916"/>
    <w:multiLevelType w:val="hybridMultilevel"/>
    <w:tmpl w:val="A3A2EF8C"/>
    <w:lvl w:ilvl="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F0C09B3"/>
    <w:multiLevelType w:val="hybridMultilevel"/>
    <w:tmpl w:val="A5E02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D1267"/>
    <w:multiLevelType w:val="hybridMultilevel"/>
    <w:tmpl w:val="5172E8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95AE6"/>
    <w:multiLevelType w:val="hybridMultilevel"/>
    <w:tmpl w:val="309E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5F"/>
    <w:rsid w:val="000053EA"/>
    <w:rsid w:val="00090DA9"/>
    <w:rsid w:val="0009324F"/>
    <w:rsid w:val="000B607F"/>
    <w:rsid w:val="000C4679"/>
    <w:rsid w:val="000E3B48"/>
    <w:rsid w:val="000E3F78"/>
    <w:rsid w:val="000F1790"/>
    <w:rsid w:val="00141755"/>
    <w:rsid w:val="00142469"/>
    <w:rsid w:val="00170CF0"/>
    <w:rsid w:val="001726E6"/>
    <w:rsid w:val="001A72AF"/>
    <w:rsid w:val="001C5D96"/>
    <w:rsid w:val="001E2A42"/>
    <w:rsid w:val="001F1BA4"/>
    <w:rsid w:val="00201045"/>
    <w:rsid w:val="002367C1"/>
    <w:rsid w:val="002D4A79"/>
    <w:rsid w:val="002F1881"/>
    <w:rsid w:val="003129F7"/>
    <w:rsid w:val="0032793F"/>
    <w:rsid w:val="00346C2D"/>
    <w:rsid w:val="00350350"/>
    <w:rsid w:val="0040638D"/>
    <w:rsid w:val="00453B0A"/>
    <w:rsid w:val="004967D8"/>
    <w:rsid w:val="004B2F03"/>
    <w:rsid w:val="004C5235"/>
    <w:rsid w:val="004E313F"/>
    <w:rsid w:val="00502622"/>
    <w:rsid w:val="0052026B"/>
    <w:rsid w:val="0052735C"/>
    <w:rsid w:val="0057696B"/>
    <w:rsid w:val="005A010E"/>
    <w:rsid w:val="005B431E"/>
    <w:rsid w:val="005C0814"/>
    <w:rsid w:val="006331AB"/>
    <w:rsid w:val="006B3BD8"/>
    <w:rsid w:val="006C3BDB"/>
    <w:rsid w:val="006C7C1D"/>
    <w:rsid w:val="00731AF3"/>
    <w:rsid w:val="00775779"/>
    <w:rsid w:val="007C36C2"/>
    <w:rsid w:val="007D20F5"/>
    <w:rsid w:val="008409AF"/>
    <w:rsid w:val="00865753"/>
    <w:rsid w:val="008705AB"/>
    <w:rsid w:val="008A00F9"/>
    <w:rsid w:val="009B3715"/>
    <w:rsid w:val="00A04D1F"/>
    <w:rsid w:val="00A257B8"/>
    <w:rsid w:val="00A364F9"/>
    <w:rsid w:val="00B45E91"/>
    <w:rsid w:val="00B60F3F"/>
    <w:rsid w:val="00B64BC4"/>
    <w:rsid w:val="00B70324"/>
    <w:rsid w:val="00BA082E"/>
    <w:rsid w:val="00BA379D"/>
    <w:rsid w:val="00BC474A"/>
    <w:rsid w:val="00C00D09"/>
    <w:rsid w:val="00C1573F"/>
    <w:rsid w:val="00C30F12"/>
    <w:rsid w:val="00C97DDA"/>
    <w:rsid w:val="00CC1750"/>
    <w:rsid w:val="00CD12D6"/>
    <w:rsid w:val="00CD2A5F"/>
    <w:rsid w:val="00D154A8"/>
    <w:rsid w:val="00D311BC"/>
    <w:rsid w:val="00D770F3"/>
    <w:rsid w:val="00D905A9"/>
    <w:rsid w:val="00DB25BA"/>
    <w:rsid w:val="00DB5578"/>
    <w:rsid w:val="00DC551A"/>
    <w:rsid w:val="00DF3566"/>
    <w:rsid w:val="00E53463"/>
    <w:rsid w:val="00E65151"/>
    <w:rsid w:val="00E77D4B"/>
    <w:rsid w:val="00E904AC"/>
    <w:rsid w:val="00EF7BEE"/>
    <w:rsid w:val="00F135E5"/>
    <w:rsid w:val="00F14725"/>
    <w:rsid w:val="00F236D0"/>
    <w:rsid w:val="00F35F68"/>
    <w:rsid w:val="00FF6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B45BC0-0C92-4A29-8F7D-879CB53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24F"/>
  </w:style>
  <w:style w:type="paragraph" w:styleId="Heading1">
    <w:name w:val="heading 1"/>
    <w:basedOn w:val="Normal"/>
    <w:next w:val="Normal"/>
    <w:link w:val="1"/>
    <w:qFormat/>
    <w:rsid w:val="00CD12D6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CD12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CD12D6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7F11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FootnoteText">
    <w:name w:val="footnote text"/>
    <w:basedOn w:val="Normal"/>
    <w:link w:val="a0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7F11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573F"/>
    <w:pPr>
      <w:ind w:left="720"/>
      <w:contextualSpacing/>
    </w:pPr>
  </w:style>
  <w:style w:type="paragraph" w:customStyle="1" w:styleId="a1">
    <w:name w:val="Ариал"/>
    <w:basedOn w:val="Normal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">
    <w:name w:val="Заголовок 1 Знак"/>
    <w:basedOn w:val="DefaultParagraphFont"/>
    <w:link w:val="Heading1"/>
    <w:rsid w:val="00CD12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CD12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CD12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0"/>
    <w:rsid w:val="00D42E02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D42E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2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6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3"/>
    <w:uiPriority w:val="99"/>
    <w:unhideWhenUsed/>
    <w:rsid w:val="0042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27D32"/>
  </w:style>
  <w:style w:type="paragraph" w:styleId="Footer">
    <w:name w:val="footer"/>
    <w:basedOn w:val="Normal"/>
    <w:link w:val="a4"/>
    <w:uiPriority w:val="99"/>
    <w:unhideWhenUsed/>
    <w:rsid w:val="0042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27D32"/>
  </w:style>
  <w:style w:type="character" w:styleId="CommentReference">
    <w:name w:val="annotation reference"/>
    <w:basedOn w:val="DefaultParagraphFont"/>
    <w:uiPriority w:val="99"/>
    <w:semiHidden/>
    <w:unhideWhenUsed/>
    <w:rsid w:val="00141755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1417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DefaultParagraphFont"/>
    <w:link w:val="CommentText"/>
    <w:uiPriority w:val="99"/>
    <w:semiHidden/>
    <w:rsid w:val="00141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141755"/>
    <w:rPr>
      <w:b/>
      <w:bCs/>
    </w:rPr>
  </w:style>
  <w:style w:type="character" w:customStyle="1" w:styleId="a6">
    <w:name w:val="Тема примечания Знак"/>
    <w:basedOn w:val="a5"/>
    <w:link w:val="CommentSubject"/>
    <w:uiPriority w:val="99"/>
    <w:semiHidden/>
    <w:rsid w:val="00141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consultantplus://offline/ref=239DD3F65AE05C88C47E1E1C3EE3DCF84551CD4B9C789B9F47745C312C19408F2AE64E528231BB79PAv3J" TargetMode="Externa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login.consultant.ru/link/?rnd=3EAD4DD18CD85D31B8FAE892C6EE9047&amp;req=doc&amp;base=LAW&amp;n=353498&amp;REFFIELD=134&amp;REFDST=100046&amp;REFDOC=372114&amp;REFBASE=LAW&amp;stat=refcode%3D16876%3Bindex%3D94&amp;date=31.05.202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7556-8E44-4590-8D7D-BBD06C885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647A-727B-4BFA-8739-3350E12C9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CA6E8-0AF5-43CF-AB7E-852C879916E1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D55EF9-549D-4B5E-A1B2-57A3ADBB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26</cp:revision>
  <cp:lastPrinted>2012-09-12T09:42:00Z</cp:lastPrinted>
  <dcterms:created xsi:type="dcterms:W3CDTF">2022-10-04T09:31:00Z</dcterms:created>
  <dcterms:modified xsi:type="dcterms:W3CDTF">2024-06-07T10:10:00Z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</Properties>
</file>